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C6" w:rsidRDefault="00186887" w:rsidP="00186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848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Годовой отчет эмитента ценных бумаг ОАО «Строительный трест №20»</w:t>
      </w:r>
    </w:p>
    <w:p w:rsidR="00186887" w:rsidRDefault="00FB67C6" w:rsidP="00186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 состоянию на 01 января 202</w:t>
      </w:r>
      <w:r w:rsidR="009B79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г.</w:t>
      </w:r>
    </w:p>
    <w:p w:rsidR="00BC17C9" w:rsidRPr="00284823" w:rsidRDefault="00BC17C9" w:rsidP="00186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86887" w:rsidRPr="00284823" w:rsidRDefault="00186887" w:rsidP="00FB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84823">
        <w:rPr>
          <w:rFonts w:ascii="Times New Roman" w:eastAsia="Times New Roman" w:hAnsi="Times New Roman" w:cs="Times New Roman"/>
          <w:color w:val="000000"/>
        </w:rPr>
        <w:t xml:space="preserve">247434  г. Светлогорск, ул. </w:t>
      </w:r>
      <w:proofErr w:type="gramStart"/>
      <w:r w:rsidRPr="00284823">
        <w:rPr>
          <w:rFonts w:ascii="Times New Roman" w:eastAsia="Times New Roman" w:hAnsi="Times New Roman" w:cs="Times New Roman"/>
          <w:color w:val="000000"/>
        </w:rPr>
        <w:t>Интернациональная</w:t>
      </w:r>
      <w:proofErr w:type="gramEnd"/>
      <w:r w:rsidRPr="00284823">
        <w:rPr>
          <w:rFonts w:ascii="Times New Roman" w:eastAsia="Times New Roman" w:hAnsi="Times New Roman" w:cs="Times New Roman"/>
          <w:color w:val="000000"/>
        </w:rPr>
        <w:t>, 40</w:t>
      </w:r>
      <w:r w:rsidR="00914828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28482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УНП 400005263</w:t>
      </w:r>
    </w:p>
    <w:p w:rsidR="00FB67C6" w:rsidRPr="00675F92" w:rsidRDefault="00FB67C6" w:rsidP="00FB67C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7C6" w:rsidRPr="0056756D" w:rsidRDefault="00FB67C6" w:rsidP="00FB67C6">
      <w:pPr>
        <w:pStyle w:val="newncpi"/>
        <w:spacing w:before="0" w:after="0"/>
        <w:ind w:firstLine="0"/>
        <w:contextualSpacing/>
        <w:rPr>
          <w:b/>
        </w:rPr>
      </w:pPr>
      <w:r w:rsidRPr="0056756D">
        <w:rPr>
          <w:b/>
        </w:rPr>
        <w:t xml:space="preserve">Доля государства в уставном фонде эмитента </w:t>
      </w:r>
      <w:r w:rsidRPr="00C7591C">
        <w:rPr>
          <w:b/>
          <w:i/>
          <w:u w:val="single"/>
        </w:rPr>
        <w:t>99,86</w:t>
      </w:r>
      <w:r>
        <w:rPr>
          <w:b/>
          <w:i/>
          <w:u w:val="single"/>
        </w:rPr>
        <w:t>%</w:t>
      </w:r>
      <w:r w:rsidRPr="0056756D">
        <w:rPr>
          <w:b/>
        </w:rPr>
        <w:t xml:space="preserve"> (всего в процентах),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3081"/>
        <w:gridCol w:w="3041"/>
      </w:tblGrid>
      <w:tr w:rsidR="00FB67C6" w:rsidRPr="001F19D0" w:rsidTr="00A57094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7C6" w:rsidRPr="001F19D0" w:rsidRDefault="00FB67C6" w:rsidP="00A57094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 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7C6" w:rsidRPr="001F19D0" w:rsidRDefault="00FB67C6" w:rsidP="00A57094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7C6" w:rsidRPr="001F19D0" w:rsidRDefault="00FB67C6" w:rsidP="00A57094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Доля в уставном фонде, %</w:t>
            </w:r>
          </w:p>
        </w:tc>
      </w:tr>
      <w:tr w:rsidR="00FB67C6" w:rsidRPr="001F19D0" w:rsidTr="00A57094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67C6" w:rsidRPr="001F19D0" w:rsidRDefault="00FB67C6" w:rsidP="00A57094">
            <w:pPr>
              <w:pStyle w:val="table10"/>
              <w:contextualSpacing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 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7C6" w:rsidRPr="001F19D0" w:rsidRDefault="00FB67C6" w:rsidP="00A57094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7C6" w:rsidRPr="001F19D0" w:rsidRDefault="00FB67C6" w:rsidP="00A57094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FB67C6" w:rsidRPr="001F19D0" w:rsidTr="00A57094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67C6" w:rsidRPr="001F19D0" w:rsidRDefault="00FB67C6" w:rsidP="00A57094">
            <w:pPr>
              <w:pStyle w:val="table10"/>
              <w:contextualSpacing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Коммунальная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4828" w:rsidRPr="001F19D0" w:rsidRDefault="00FB67C6" w:rsidP="009B7989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63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F19D0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>5</w:t>
            </w:r>
            <w:r w:rsidR="007E345A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B7989">
              <w:rPr>
                <w:b/>
                <w:i/>
                <w:sz w:val="24"/>
                <w:szCs w:val="24"/>
              </w:rPr>
              <w:t>054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67C6" w:rsidRPr="001F19D0" w:rsidRDefault="00FB67C6" w:rsidP="00A57094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99,86</w:t>
            </w:r>
          </w:p>
        </w:tc>
      </w:tr>
      <w:tr w:rsidR="00FB67C6" w:rsidRPr="001F19D0" w:rsidTr="00A57094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7C6" w:rsidRPr="001F19D0" w:rsidRDefault="00FB67C6" w:rsidP="00A57094">
            <w:pPr>
              <w:pStyle w:val="table10"/>
              <w:contextualSpacing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     в том числе:</w:t>
            </w:r>
            <w:r w:rsidR="00914828">
              <w:rPr>
                <w:sz w:val="24"/>
                <w:szCs w:val="24"/>
              </w:rPr>
              <w:t xml:space="preserve">   </w:t>
            </w:r>
            <w:r w:rsidR="009D2C98">
              <w:rPr>
                <w:sz w:val="24"/>
                <w:szCs w:val="24"/>
              </w:rPr>
              <w:t>област</w:t>
            </w:r>
            <w:r w:rsidRPr="001F19D0">
              <w:rPr>
                <w:sz w:val="24"/>
                <w:szCs w:val="24"/>
              </w:rPr>
              <w:t>ная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7C6" w:rsidRPr="001F19D0" w:rsidRDefault="0034469A" w:rsidP="009B7989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63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F19D0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58 </w:t>
            </w:r>
            <w:r w:rsidR="009B7989">
              <w:rPr>
                <w:b/>
                <w:i/>
                <w:sz w:val="24"/>
                <w:szCs w:val="24"/>
              </w:rPr>
              <w:t>054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67C6" w:rsidRPr="001F19D0" w:rsidRDefault="00FB67C6" w:rsidP="00A57094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99,86</w:t>
            </w:r>
          </w:p>
        </w:tc>
      </w:tr>
    </w:tbl>
    <w:p w:rsidR="00E4470E" w:rsidRDefault="00E4470E" w:rsidP="00FB67C6">
      <w:pPr>
        <w:pStyle w:val="newncpi0"/>
        <w:spacing w:before="0" w:after="0"/>
        <w:ind w:firstLine="708"/>
        <w:contextualSpacing/>
        <w:rPr>
          <w:b/>
        </w:rPr>
      </w:pPr>
    </w:p>
    <w:p w:rsidR="000C22C4" w:rsidRPr="00BA1F1A" w:rsidRDefault="000C22C4" w:rsidP="000C22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дивидендах и акциях: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4"/>
        <w:gridCol w:w="1701"/>
        <w:gridCol w:w="1417"/>
        <w:gridCol w:w="1831"/>
      </w:tblGrid>
      <w:tr w:rsidR="000E2BDE" w:rsidRPr="001F19D0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22C4" w:rsidRPr="00BA1F1A" w:rsidRDefault="000C22C4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22C4" w:rsidRDefault="000C22C4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C22C4" w:rsidRPr="00BA1F1A" w:rsidRDefault="000C22C4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08F7" w:rsidRDefault="000C22C4" w:rsidP="00750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5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0C22C4" w:rsidRPr="00BA1F1A" w:rsidRDefault="007508F7" w:rsidP="00750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22C4" w:rsidRPr="00BA1F1A" w:rsidRDefault="000C22C4" w:rsidP="00750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5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аналогичный период прошлого года</w:t>
            </w:r>
          </w:p>
        </w:tc>
      </w:tr>
      <w:tr w:rsidR="00A36B42" w:rsidRPr="001F19D0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E4470E" w:rsidRDefault="00A36B42" w:rsidP="00BE2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акционеров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7E345A" w:rsidP="009B7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B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A36B42" w:rsidP="009B7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B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6B42" w:rsidRPr="001F19D0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E4470E" w:rsidRDefault="00A36B42" w:rsidP="00BE2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том числе: юридических лиц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A36B42" w:rsidP="007D7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B42" w:rsidRPr="001F19D0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E4470E" w:rsidRDefault="00A36B42" w:rsidP="00BE2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нерезидентов Республики Беларусь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A36B42" w:rsidP="007D7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E4470E" w:rsidRDefault="00A36B42" w:rsidP="00BE2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лиц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7E345A" w:rsidP="009B7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B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7E345A" w:rsidP="009B7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B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6B42" w:rsidRPr="001F19D0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E4470E" w:rsidRDefault="00A36B42" w:rsidP="00563D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нерезидентов Республики Беларусь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A36B42" w:rsidP="00563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A36B42" w:rsidP="007D7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:rsidTr="00A36B42">
        <w:trPr>
          <w:trHeight w:val="309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на выплату дивидендов в данном отчетном п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риоде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B42" w:rsidRPr="000E2BDE" w:rsidRDefault="00A36B42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9B7989" w:rsidP="008E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A36B42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:rsidTr="00A36B42">
        <w:trPr>
          <w:trHeight w:val="295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B42" w:rsidRPr="000E2BDE" w:rsidRDefault="00A36B42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9B7989" w:rsidP="008E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276,39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A36B42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:rsidTr="00A36B42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Дивиденды,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приходящиеся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простую</w:t>
            </w:r>
            <w:r w:rsidR="00B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(обыкнове</w:t>
            </w:r>
            <w:r w:rsidR="00B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ную)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цию (включая налоги)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B42" w:rsidRPr="000E2BDE" w:rsidRDefault="00A36B42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BC17C9" w:rsidP="00ED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0,004320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A36B42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7C9" w:rsidRPr="001F19D0" w:rsidTr="00A36B42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17C9" w:rsidRDefault="00BC17C9" w:rsidP="00B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Дивиденды,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приходящиеся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ивилегированную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(включая налоги)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типа  _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0E2BDE" w:rsidRDefault="00BC17C9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BA1F1A" w:rsidRDefault="00BC17C9" w:rsidP="00ED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BA1F1A" w:rsidRDefault="00BC17C9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7C9" w:rsidRPr="001F19D0" w:rsidTr="00A36B42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17C9" w:rsidRDefault="00BC17C9" w:rsidP="00B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Дивиденды,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приходящиеся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ивилегированную 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(включая налоги)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0E2BDE" w:rsidRDefault="00BC17C9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BA1F1A" w:rsidRDefault="00BC17C9" w:rsidP="00ED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BA1F1A" w:rsidRDefault="00BC17C9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:rsidTr="00A36B42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B42" w:rsidRPr="00BA1F1A" w:rsidRDefault="00A36B42" w:rsidP="00B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Дивиденды, фактически выплаченные на одну простую </w:t>
            </w:r>
            <w:r w:rsidR="00B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(обыкновенную) </w:t>
            </w:r>
            <w:r w:rsidR="00BC17C9"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C17C9"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C17C9"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(включая налоги)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B42" w:rsidRPr="000E2BDE" w:rsidRDefault="00A36B42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9B7989" w:rsidP="00B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0,0043</w:t>
            </w:r>
            <w:r w:rsidR="00B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A36B42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7C9" w:rsidRPr="001F19D0" w:rsidTr="00A36B42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17C9" w:rsidRPr="00BA1F1A" w:rsidRDefault="00BC17C9" w:rsidP="00B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фактически выплаченные на одну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рованную 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(включая налоги)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типа 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0E2BDE" w:rsidRDefault="00BC17C9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Default="00BC17C9" w:rsidP="00B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BA1F1A" w:rsidRDefault="00BC17C9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7C9" w:rsidRPr="001F19D0" w:rsidTr="00A36B42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17C9" w:rsidRPr="00BA1F1A" w:rsidRDefault="00BC17C9" w:rsidP="00B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фактически выплаченные на одну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рованную 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(включая налоги)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типа 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0E2BDE" w:rsidRDefault="00BC17C9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Default="00BC17C9" w:rsidP="00B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BA1F1A" w:rsidRDefault="00BC17C9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:rsidTr="00555F73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за который выплачивались дивиденды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B42" w:rsidRPr="00622EB6" w:rsidRDefault="00A36B42" w:rsidP="00BE2D3D">
            <w:pPr>
              <w:pStyle w:val="table10"/>
              <w:jc w:val="center"/>
            </w:pPr>
            <w:r w:rsidRPr="00622EB6">
              <w:t>месяц,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452AD5" w:rsidRDefault="00BC17C9" w:rsidP="00ED3F1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622EB6" w:rsidRDefault="00A36B42" w:rsidP="00BE2D3D">
            <w:pPr>
              <w:pStyle w:val="table10"/>
              <w:jc w:val="center"/>
            </w:pPr>
            <w:r w:rsidRPr="00622EB6">
              <w:t>Х</w:t>
            </w:r>
          </w:p>
        </w:tc>
      </w:tr>
      <w:tr w:rsidR="00A36B42" w:rsidRPr="001F19D0" w:rsidTr="00555F73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B42" w:rsidRPr="00EE0EEC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B42" w:rsidRPr="00622EB6" w:rsidRDefault="00A36B42" w:rsidP="00BE2D3D">
            <w:pPr>
              <w:pStyle w:val="table10"/>
              <w:jc w:val="center"/>
            </w:pPr>
            <w:r w:rsidRPr="00622EB6">
              <w:t>число, месяц,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452AD5" w:rsidRDefault="00BC17C9" w:rsidP="00ED3F1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622EB6" w:rsidRDefault="00A36B42" w:rsidP="00BE2D3D">
            <w:pPr>
              <w:pStyle w:val="table10"/>
              <w:jc w:val="center"/>
            </w:pPr>
            <w:r w:rsidRPr="00622EB6">
              <w:t>Х</w:t>
            </w:r>
          </w:p>
        </w:tc>
      </w:tr>
      <w:tr w:rsidR="00A36B42" w:rsidRPr="001F19D0" w:rsidTr="00555F73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(сроки) выплаты дивидендов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B42" w:rsidRPr="00622EB6" w:rsidRDefault="00A36B42" w:rsidP="00BE2D3D">
            <w:pPr>
              <w:pStyle w:val="table10"/>
              <w:jc w:val="center"/>
            </w:pPr>
            <w:r w:rsidRPr="00622EB6">
              <w:t>число, месяц,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452AD5" w:rsidRDefault="00BC17C9" w:rsidP="00ED3F1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622EB6" w:rsidRDefault="00A36B42" w:rsidP="00BE2D3D">
            <w:pPr>
              <w:pStyle w:val="table10"/>
              <w:jc w:val="center"/>
            </w:pPr>
            <w:r w:rsidRPr="00622EB6">
              <w:t>Х</w:t>
            </w:r>
          </w:p>
        </w:tc>
      </w:tr>
      <w:tr w:rsidR="00A36B42" w:rsidRPr="001F19D0" w:rsidTr="00555F73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акции имуществом общества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B42" w:rsidRPr="00BA1F1A" w:rsidRDefault="00A36B42" w:rsidP="00BE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B42" w:rsidRPr="00BA1F1A" w:rsidRDefault="00A36B42" w:rsidP="00B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E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B42" w:rsidRPr="00BA1F1A" w:rsidRDefault="00BC17C9" w:rsidP="007E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36B42" w:rsidRPr="001F19D0" w:rsidTr="00555F73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акций находящихся на балансе общества, всего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A36B42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Pr="00BA1F1A" w:rsidRDefault="00A36B42" w:rsidP="00BE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36B42" w:rsidRDefault="00A36B42" w:rsidP="00BE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AD5" w:rsidRDefault="00452AD5" w:rsidP="00FB67C6">
      <w:pPr>
        <w:pStyle w:val="newncpi0"/>
        <w:spacing w:before="0" w:after="0"/>
        <w:ind w:firstLine="708"/>
        <w:contextualSpacing/>
        <w:rPr>
          <w:b/>
        </w:rPr>
      </w:pPr>
    </w:p>
    <w:p w:rsidR="007E345A" w:rsidRDefault="007E345A" w:rsidP="00FB67C6">
      <w:pPr>
        <w:pStyle w:val="newncpi0"/>
        <w:spacing w:before="0" w:after="0"/>
        <w:ind w:firstLine="708"/>
        <w:contextualSpacing/>
        <w:rPr>
          <w:b/>
        </w:rPr>
      </w:pPr>
    </w:p>
    <w:p w:rsidR="00BC17C9" w:rsidRDefault="00BC17C9" w:rsidP="00FB67C6">
      <w:pPr>
        <w:pStyle w:val="newncpi0"/>
        <w:spacing w:before="0" w:after="0"/>
        <w:ind w:firstLine="708"/>
        <w:contextualSpacing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5"/>
        <w:gridCol w:w="1417"/>
        <w:gridCol w:w="3939"/>
        <w:gridCol w:w="2268"/>
        <w:gridCol w:w="1439"/>
      </w:tblGrid>
      <w:tr w:rsidR="007E345A" w:rsidTr="001451FF">
        <w:tc>
          <w:tcPr>
            <w:tcW w:w="3364" w:type="pct"/>
            <w:gridSpan w:val="3"/>
            <w:vAlign w:val="center"/>
          </w:tcPr>
          <w:p w:rsidR="007E345A" w:rsidRDefault="007E345A" w:rsidP="001451FF">
            <w:pPr>
              <w:pStyle w:val="newncpi0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Акции, поступившие в распоряжение общества</w:t>
            </w:r>
          </w:p>
        </w:tc>
        <w:tc>
          <w:tcPr>
            <w:tcW w:w="1636" w:type="pct"/>
            <w:gridSpan w:val="2"/>
            <w:vAlign w:val="center"/>
          </w:tcPr>
          <w:p w:rsidR="007E345A" w:rsidRDefault="007E345A" w:rsidP="001451FF">
            <w:pPr>
              <w:pStyle w:val="newncpi0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Акции, приобретенные в целях сокращения общего количества</w:t>
            </w:r>
          </w:p>
        </w:tc>
      </w:tr>
      <w:tr w:rsidR="007E345A" w:rsidTr="001451FF">
        <w:tc>
          <w:tcPr>
            <w:tcW w:w="1000" w:type="pct"/>
            <w:vAlign w:val="center"/>
          </w:tcPr>
          <w:p w:rsidR="007E345A" w:rsidRPr="003E4DD2" w:rsidRDefault="007E345A" w:rsidP="001451FF">
            <w:pPr>
              <w:pStyle w:val="newncpi0"/>
              <w:spacing w:before="0" w:after="0"/>
              <w:contextualSpacing/>
              <w:jc w:val="center"/>
            </w:pPr>
            <w:r w:rsidRPr="003E4DD2">
              <w:t>Дата зачисления акций на счет «д</w:t>
            </w:r>
            <w:r w:rsidRPr="003E4DD2">
              <w:t>е</w:t>
            </w:r>
            <w:r w:rsidRPr="003E4DD2">
              <w:t>по» общества</w:t>
            </w:r>
          </w:p>
        </w:tc>
        <w:tc>
          <w:tcPr>
            <w:tcW w:w="625" w:type="pct"/>
            <w:vAlign w:val="center"/>
          </w:tcPr>
          <w:p w:rsidR="007E345A" w:rsidRPr="003E4DD2" w:rsidRDefault="007E345A" w:rsidP="001451FF">
            <w:pPr>
              <w:pStyle w:val="newncpi0"/>
              <w:spacing w:before="0" w:after="0"/>
              <w:contextualSpacing/>
              <w:jc w:val="center"/>
            </w:pPr>
            <w:r w:rsidRPr="003E4DD2">
              <w:t xml:space="preserve">Количество акций,  </w:t>
            </w:r>
            <w:proofErr w:type="spellStart"/>
            <w:r w:rsidRPr="003E4DD2">
              <w:t>шт</w:t>
            </w:r>
            <w:proofErr w:type="spellEnd"/>
          </w:p>
        </w:tc>
        <w:tc>
          <w:tcPr>
            <w:tcW w:w="1739" w:type="pct"/>
            <w:vAlign w:val="center"/>
          </w:tcPr>
          <w:p w:rsidR="007E345A" w:rsidRPr="003E4DD2" w:rsidRDefault="007E345A" w:rsidP="001451FF">
            <w:pPr>
              <w:pStyle w:val="newncpi0"/>
              <w:spacing w:before="0" w:after="0"/>
              <w:contextualSpacing/>
              <w:jc w:val="center"/>
            </w:pPr>
            <w:r w:rsidRPr="003E4DD2">
              <w:t>Срок реализации акций, поступи</w:t>
            </w:r>
            <w:r w:rsidRPr="003E4DD2">
              <w:t>в</w:t>
            </w:r>
            <w:r w:rsidRPr="003E4DD2">
              <w:t>ших в распоряжение общества</w:t>
            </w:r>
          </w:p>
        </w:tc>
        <w:tc>
          <w:tcPr>
            <w:tcW w:w="1001" w:type="pct"/>
            <w:vAlign w:val="center"/>
          </w:tcPr>
          <w:p w:rsidR="007E345A" w:rsidRPr="003E4DD2" w:rsidRDefault="007E345A" w:rsidP="001451FF">
            <w:pPr>
              <w:pStyle w:val="newncpi0"/>
              <w:spacing w:before="0" w:after="0"/>
              <w:contextualSpacing/>
              <w:jc w:val="center"/>
            </w:pPr>
            <w:r w:rsidRPr="003E4DD2">
              <w:t>Дата зачисления акций на счет «д</w:t>
            </w:r>
            <w:r w:rsidRPr="003E4DD2">
              <w:t>е</w:t>
            </w:r>
            <w:r w:rsidRPr="003E4DD2">
              <w:t>по» общества</w:t>
            </w:r>
          </w:p>
        </w:tc>
        <w:tc>
          <w:tcPr>
            <w:tcW w:w="635" w:type="pct"/>
            <w:vAlign w:val="center"/>
          </w:tcPr>
          <w:p w:rsidR="007E345A" w:rsidRPr="003E4DD2" w:rsidRDefault="007E345A" w:rsidP="001451FF">
            <w:pPr>
              <w:pStyle w:val="newncpi0"/>
              <w:spacing w:before="0" w:after="0"/>
              <w:contextualSpacing/>
              <w:jc w:val="center"/>
            </w:pPr>
            <w:r w:rsidRPr="003E4DD2">
              <w:t xml:space="preserve">Количество акций,  </w:t>
            </w:r>
            <w:proofErr w:type="spellStart"/>
            <w:r w:rsidRPr="003E4DD2">
              <w:t>шт</w:t>
            </w:r>
            <w:proofErr w:type="spellEnd"/>
          </w:p>
        </w:tc>
      </w:tr>
      <w:tr w:rsidR="007E345A" w:rsidTr="001451FF">
        <w:tc>
          <w:tcPr>
            <w:tcW w:w="1000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25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739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001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35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</w:tr>
      <w:tr w:rsidR="007E345A" w:rsidTr="001451FF">
        <w:tc>
          <w:tcPr>
            <w:tcW w:w="1000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25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739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001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35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</w:tr>
      <w:tr w:rsidR="007E345A" w:rsidTr="001451FF">
        <w:tc>
          <w:tcPr>
            <w:tcW w:w="1000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25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739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001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35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</w:tr>
      <w:tr w:rsidR="007E345A" w:rsidTr="001451FF">
        <w:tc>
          <w:tcPr>
            <w:tcW w:w="1000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5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9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001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35" w:type="pct"/>
          </w:tcPr>
          <w:p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E345A" w:rsidRDefault="007E345A" w:rsidP="00BE2D3D">
      <w:pPr>
        <w:pStyle w:val="newncpi0"/>
        <w:spacing w:before="0" w:after="0"/>
        <w:contextualSpacing/>
        <w:rPr>
          <w:b/>
        </w:rPr>
      </w:pPr>
    </w:p>
    <w:p w:rsidR="00BC17C9" w:rsidRDefault="00BC17C9" w:rsidP="00BE2D3D">
      <w:pPr>
        <w:pStyle w:val="newncpi0"/>
        <w:spacing w:before="0" w:after="0"/>
        <w:contextualSpacing/>
        <w:rPr>
          <w:b/>
        </w:rPr>
      </w:pPr>
    </w:p>
    <w:p w:rsidR="007E345A" w:rsidRDefault="007E345A" w:rsidP="00BE2D3D">
      <w:pPr>
        <w:pStyle w:val="newncpi0"/>
        <w:spacing w:before="0" w:after="0"/>
        <w:contextualSpacing/>
        <w:rPr>
          <w:b/>
        </w:rPr>
      </w:pPr>
    </w:p>
    <w:p w:rsidR="00452AD5" w:rsidRPr="001F19D0" w:rsidRDefault="00452AD5" w:rsidP="00BE2D3D">
      <w:pPr>
        <w:pStyle w:val="newncpi0"/>
        <w:spacing w:before="0" w:after="0"/>
        <w:contextualSpacing/>
        <w:rPr>
          <w:b/>
        </w:rPr>
      </w:pPr>
      <w:r w:rsidRPr="001F19D0">
        <w:rPr>
          <w:b/>
        </w:rPr>
        <w:lastRenderedPageBreak/>
        <w:t>Отдельные финансовые результаты деятельности открытого акционерного общества: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6"/>
        <w:gridCol w:w="1529"/>
        <w:gridCol w:w="1389"/>
        <w:gridCol w:w="1360"/>
      </w:tblGrid>
      <w:tr w:rsidR="007508F7" w:rsidRPr="00622EB6" w:rsidTr="00503C98">
        <w:trPr>
          <w:trHeight w:val="238"/>
        </w:trPr>
        <w:tc>
          <w:tcPr>
            <w:tcW w:w="30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08F7" w:rsidRPr="001F19D0" w:rsidRDefault="007508F7" w:rsidP="00BE2D3D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08F7" w:rsidRPr="001F19D0" w:rsidRDefault="007508F7" w:rsidP="00BE2D3D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Единица и</w:t>
            </w:r>
            <w:r w:rsidRPr="001F19D0">
              <w:rPr>
                <w:sz w:val="24"/>
                <w:szCs w:val="24"/>
              </w:rPr>
              <w:t>з</w:t>
            </w:r>
            <w:r w:rsidRPr="001F19D0">
              <w:rPr>
                <w:sz w:val="24"/>
                <w:szCs w:val="24"/>
              </w:rPr>
              <w:t>мерения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08F7" w:rsidRDefault="007508F7" w:rsidP="00563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7508F7" w:rsidRPr="00BA1F1A" w:rsidRDefault="007508F7" w:rsidP="00563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08F7" w:rsidRPr="00BA1F1A" w:rsidRDefault="007508F7" w:rsidP="00563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период прошлого года</w:t>
            </w:r>
          </w:p>
        </w:tc>
      </w:tr>
      <w:tr w:rsidR="00BC17C9" w:rsidRPr="00622EB6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BE2D3D">
            <w:pPr>
              <w:pStyle w:val="table10"/>
              <w:contextualSpacing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Выручка от реализации продукции, товаров, работ, услуг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0E2BDE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1F19D0" w:rsidRDefault="00BC17C9" w:rsidP="00503C98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7C9" w:rsidRPr="001F19D0" w:rsidRDefault="00BC17C9" w:rsidP="002C515D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29 396,00</w:t>
            </w:r>
          </w:p>
        </w:tc>
      </w:tr>
      <w:tr w:rsidR="00BC17C9" w:rsidRPr="00622EB6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Себестоимость реализованной продукции, товаров, работ, услуг; управленческие расходы; расходы на реализацию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тысяч </w:t>
            </w:r>
          </w:p>
          <w:p w:rsidR="00BC17C9" w:rsidRPr="001F19D0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1F19D0" w:rsidRDefault="00BC17C9" w:rsidP="007E345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22 960,00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7C9" w:rsidRPr="001F19D0" w:rsidRDefault="00BC17C9" w:rsidP="002C515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28 004,00</w:t>
            </w:r>
          </w:p>
        </w:tc>
      </w:tr>
      <w:tr w:rsidR="00BC17C9" w:rsidRPr="00622EB6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Прибыль (убыток) до налогообложения - всего (Прибыль (уб</w:t>
            </w:r>
            <w:r w:rsidRPr="001F19D0">
              <w:rPr>
                <w:sz w:val="24"/>
                <w:szCs w:val="24"/>
              </w:rPr>
              <w:t>ы</w:t>
            </w:r>
            <w:r w:rsidRPr="001F19D0">
              <w:rPr>
                <w:sz w:val="24"/>
                <w:szCs w:val="24"/>
              </w:rPr>
              <w:t>ток) отчетного периода)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тысяч </w:t>
            </w:r>
          </w:p>
          <w:p w:rsidR="00BC17C9" w:rsidRPr="001F19D0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1F19D0" w:rsidRDefault="00BC17C9" w:rsidP="00ED3F1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-5 204,00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7C9" w:rsidRPr="001F19D0" w:rsidRDefault="00BC17C9" w:rsidP="002C515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1 064,00</w:t>
            </w:r>
          </w:p>
        </w:tc>
      </w:tr>
      <w:tr w:rsidR="00BC17C9" w:rsidRPr="00622EB6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0E2BDE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В том числе:прибыль (убыток) от реализации продукции, товаров, работ, услуг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тысяч </w:t>
            </w:r>
          </w:p>
          <w:p w:rsidR="00BC17C9" w:rsidRPr="001F19D0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1F19D0" w:rsidRDefault="00BC17C9" w:rsidP="007E345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-5 270,00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7C9" w:rsidRPr="001F19D0" w:rsidRDefault="00BC17C9" w:rsidP="002C515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1 392,00</w:t>
            </w:r>
          </w:p>
        </w:tc>
      </w:tr>
      <w:tr w:rsidR="00BC17C9" w:rsidRPr="00622EB6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прочие доходы и расходы по текущей деятельности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1F19D0" w:rsidRDefault="00BC17C9" w:rsidP="00BC17C9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-98</w:t>
            </w:r>
            <w:r w:rsidR="004328CA">
              <w:rPr>
                <w:sz w:val="24"/>
                <w:szCs w:val="24"/>
              </w:rPr>
              <w:t>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7C9" w:rsidRPr="001F19D0" w:rsidRDefault="00BC17C9" w:rsidP="002C515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-334</w:t>
            </w:r>
          </w:p>
        </w:tc>
      </w:tr>
      <w:tr w:rsidR="00BC17C9" w:rsidRPr="00622EB6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прибыль (убыток) от инвестиционной и финансовой деятельности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0E2BDE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1F19D0" w:rsidRDefault="00BC17C9" w:rsidP="00ED3F1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7C9" w:rsidRPr="001F19D0" w:rsidRDefault="00BC17C9" w:rsidP="002C515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BC17C9" w:rsidRPr="00622EB6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</w:t>
            </w:r>
            <w:r w:rsidRPr="001F19D0">
              <w:rPr>
                <w:sz w:val="24"/>
                <w:szCs w:val="24"/>
              </w:rPr>
              <w:t>с</w:t>
            </w:r>
            <w:r w:rsidRPr="001F19D0">
              <w:rPr>
                <w:sz w:val="24"/>
                <w:szCs w:val="24"/>
              </w:rPr>
              <w:t>числяемые из прибыли (дохода)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тысяч </w:t>
            </w:r>
          </w:p>
          <w:p w:rsidR="00BC17C9" w:rsidRPr="001F19D0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1F19D0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-976,00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7C9" w:rsidRPr="001F19D0" w:rsidRDefault="00BC17C9" w:rsidP="002C515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189,00</w:t>
            </w:r>
          </w:p>
        </w:tc>
      </w:tr>
      <w:tr w:rsidR="00BC17C9" w:rsidRPr="00622EB6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1F19D0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-4 228,00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7C9" w:rsidRPr="001F19D0" w:rsidRDefault="00BC17C9" w:rsidP="002C515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875,00</w:t>
            </w:r>
          </w:p>
        </w:tc>
      </w:tr>
      <w:tr w:rsidR="00BC17C9" w:rsidRPr="00622EB6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1F19D0" w:rsidRDefault="00BC17C9" w:rsidP="00BC17C9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-10 186,00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7C9" w:rsidRPr="001F19D0" w:rsidRDefault="00BC17C9" w:rsidP="00BC17C9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-5 763,00</w:t>
            </w:r>
          </w:p>
        </w:tc>
      </w:tr>
      <w:tr w:rsidR="00BC17C9" w:rsidRPr="00622EB6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1F19D0" w:rsidRDefault="00BC17C9" w:rsidP="007D7E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7C9" w:rsidRPr="001F19D0" w:rsidRDefault="00BC17C9" w:rsidP="002C515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7C9" w:rsidRPr="00622EB6" w:rsidTr="00A36B42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7C9" w:rsidRPr="001F19D0" w:rsidRDefault="00BC17C9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7C9" w:rsidRPr="001F19D0" w:rsidRDefault="00BC17C9" w:rsidP="007D7E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7C9" w:rsidRPr="001F19D0" w:rsidRDefault="00BC17C9" w:rsidP="002C515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D53359" w:rsidRDefault="00D53359" w:rsidP="00D53359">
      <w:pPr>
        <w:spacing w:before="160" w:after="160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7AD" w:rsidRPr="00E55252" w:rsidRDefault="000127AD" w:rsidP="00BE2D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53359" w:rsidRDefault="00D53359" w:rsidP="00BE2D3D">
      <w:pPr>
        <w:pStyle w:val="newncpi0"/>
        <w:spacing w:before="0" w:after="0"/>
        <w:ind w:firstLine="709"/>
        <w:contextualSpacing/>
        <w:rPr>
          <w:b/>
          <w:i/>
          <w:u w:val="single"/>
        </w:rPr>
      </w:pPr>
      <w:r w:rsidRPr="00BE2D3D">
        <w:t xml:space="preserve">Дата проведения годового общего собрания акционеров, на котором утверждены годовой отчет, бухгалтерский баланс, отчет о прибылях и убытках за отчетный </w:t>
      </w:r>
      <w:r w:rsidR="007D7E45">
        <w:rPr>
          <w:b/>
          <w:i/>
          <w:u w:val="single"/>
        </w:rPr>
        <w:t>202</w:t>
      </w:r>
      <w:r w:rsidR="00AE3858">
        <w:rPr>
          <w:b/>
          <w:i/>
          <w:u w:val="single"/>
        </w:rPr>
        <w:t>4</w:t>
      </w:r>
      <w:r w:rsidRPr="00BE2D3D">
        <w:rPr>
          <w:b/>
          <w:i/>
          <w:u w:val="single"/>
        </w:rPr>
        <w:t xml:space="preserve"> </w:t>
      </w:r>
      <w:r w:rsidRPr="00BE2D3D">
        <w:t>год: </w:t>
      </w:r>
      <w:r w:rsidR="00AE3858">
        <w:rPr>
          <w:b/>
          <w:i/>
          <w:u w:val="single"/>
        </w:rPr>
        <w:t>31</w:t>
      </w:r>
      <w:r w:rsidR="00ED3F1E">
        <w:rPr>
          <w:b/>
          <w:i/>
          <w:u w:val="single"/>
        </w:rPr>
        <w:t xml:space="preserve"> </w:t>
      </w:r>
      <w:r w:rsidR="007D7E45" w:rsidRPr="007D7E45">
        <w:rPr>
          <w:b/>
          <w:i/>
          <w:u w:val="single"/>
        </w:rPr>
        <w:t xml:space="preserve"> марта</w:t>
      </w:r>
      <w:r w:rsidRPr="00BE2D3D">
        <w:rPr>
          <w:b/>
          <w:i/>
          <w:u w:val="single"/>
        </w:rPr>
        <w:t xml:space="preserve"> 202</w:t>
      </w:r>
      <w:r w:rsidR="00AE3858">
        <w:rPr>
          <w:b/>
          <w:i/>
          <w:u w:val="single"/>
        </w:rPr>
        <w:t>5</w:t>
      </w:r>
      <w:r w:rsidRPr="00BE2D3D">
        <w:rPr>
          <w:b/>
          <w:i/>
          <w:u w:val="single"/>
        </w:rPr>
        <w:t xml:space="preserve"> г.</w:t>
      </w:r>
    </w:p>
    <w:p w:rsidR="00E55252" w:rsidRPr="00BE2D3D" w:rsidRDefault="00E55252" w:rsidP="00BE2D3D">
      <w:pPr>
        <w:pStyle w:val="newncpi0"/>
        <w:spacing w:before="0" w:after="0"/>
        <w:ind w:firstLine="709"/>
        <w:contextualSpacing/>
        <w:rPr>
          <w:b/>
          <w:i/>
          <w:u w:val="single"/>
        </w:rPr>
      </w:pPr>
    </w:p>
    <w:p w:rsidR="00D53359" w:rsidRDefault="00D53359" w:rsidP="00BE2D3D">
      <w:pPr>
        <w:pStyle w:val="newncpi0"/>
        <w:spacing w:before="0" w:after="0"/>
        <w:ind w:firstLine="709"/>
        <w:contextualSpacing/>
        <w:rPr>
          <w:b/>
          <w:i/>
          <w:u w:val="single"/>
        </w:rPr>
      </w:pPr>
      <w:r w:rsidRPr="00BE2D3D">
        <w:t xml:space="preserve">Дата подготовки аудиторского заключения по бухгалтерской (финансовой) отчетности: </w:t>
      </w:r>
      <w:r w:rsidR="00AE3858">
        <w:rPr>
          <w:b/>
          <w:i/>
          <w:u w:val="single"/>
        </w:rPr>
        <w:t>24</w:t>
      </w:r>
      <w:r w:rsidR="000E2BDE">
        <w:rPr>
          <w:b/>
          <w:i/>
          <w:u w:val="single"/>
        </w:rPr>
        <w:t xml:space="preserve"> </w:t>
      </w:r>
      <w:r w:rsidRPr="00BE2D3D">
        <w:rPr>
          <w:b/>
          <w:i/>
          <w:u w:val="single"/>
        </w:rPr>
        <w:t xml:space="preserve"> </w:t>
      </w:r>
      <w:r w:rsidR="007D7E45">
        <w:rPr>
          <w:b/>
          <w:i/>
          <w:u w:val="single"/>
        </w:rPr>
        <w:t>марта</w:t>
      </w:r>
      <w:r w:rsidRPr="00BE2D3D">
        <w:rPr>
          <w:b/>
          <w:i/>
          <w:u w:val="single"/>
        </w:rPr>
        <w:t xml:space="preserve"> 202</w:t>
      </w:r>
      <w:r w:rsidR="00AE3858">
        <w:rPr>
          <w:b/>
          <w:i/>
          <w:u w:val="single"/>
        </w:rPr>
        <w:t>5</w:t>
      </w:r>
      <w:r w:rsidRPr="00BE2D3D">
        <w:rPr>
          <w:b/>
          <w:i/>
          <w:u w:val="single"/>
        </w:rPr>
        <w:t xml:space="preserve"> г.</w:t>
      </w:r>
    </w:p>
    <w:p w:rsidR="000127AD" w:rsidRPr="00BE2D3D" w:rsidRDefault="000127AD" w:rsidP="00BE2D3D">
      <w:pPr>
        <w:pStyle w:val="newncpi0"/>
        <w:spacing w:before="0" w:after="0"/>
        <w:ind w:firstLine="709"/>
        <w:contextualSpacing/>
        <w:rPr>
          <w:b/>
          <w:i/>
          <w:u w:val="single"/>
        </w:rPr>
      </w:pPr>
    </w:p>
    <w:p w:rsidR="00D53359" w:rsidRPr="00BE2D3D" w:rsidRDefault="00D53359" w:rsidP="00BE2D3D">
      <w:pPr>
        <w:pStyle w:val="newncpi0"/>
        <w:spacing w:before="0" w:after="0"/>
        <w:ind w:firstLine="708"/>
        <w:contextualSpacing/>
        <w:rPr>
          <w:b/>
          <w:i/>
        </w:rPr>
      </w:pPr>
      <w:r w:rsidRPr="00BE2D3D">
        <w:rPr>
          <w:bCs/>
        </w:rPr>
        <w:t>Наименование аудиторской организации (фамилия, собственное имя, отчество (если таковое имее</w:t>
      </w:r>
      <w:r w:rsidRPr="00BE2D3D">
        <w:rPr>
          <w:bCs/>
        </w:rPr>
        <w:t>т</w:t>
      </w:r>
      <w:r w:rsidRPr="00BE2D3D">
        <w:rPr>
          <w:bCs/>
        </w:rPr>
        <w:t>ся) индивидуального предпринимателя), местонахождение (место жительства), дата государственной рег</w:t>
      </w:r>
      <w:r w:rsidRPr="00BE2D3D">
        <w:rPr>
          <w:bCs/>
        </w:rPr>
        <w:t>и</w:t>
      </w:r>
      <w:r w:rsidRPr="00BE2D3D">
        <w:rPr>
          <w:bCs/>
        </w:rPr>
        <w:t xml:space="preserve">страции, регистрационный номер в Едином государственном регистре юридических лиц и индивидуальных предпринимателей: </w:t>
      </w:r>
      <w:r w:rsidRPr="00BE2D3D">
        <w:rPr>
          <w:b/>
          <w:bCs/>
          <w:i/>
          <w:u w:val="single"/>
        </w:rPr>
        <w:t>Частное</w:t>
      </w:r>
      <w:r w:rsidR="007D7E45">
        <w:rPr>
          <w:b/>
          <w:bCs/>
          <w:i/>
          <w:u w:val="single"/>
        </w:rPr>
        <w:t xml:space="preserve"> а</w:t>
      </w:r>
      <w:r w:rsidRPr="00BE2D3D">
        <w:rPr>
          <w:b/>
          <w:i/>
          <w:u w:val="single"/>
        </w:rPr>
        <w:t>удиторское унитарное предприятие "</w:t>
      </w:r>
      <w:proofErr w:type="spellStart"/>
      <w:r w:rsidRPr="00BE2D3D">
        <w:rPr>
          <w:b/>
          <w:i/>
          <w:u w:val="single"/>
        </w:rPr>
        <w:t>БизнесАудитСервис</w:t>
      </w:r>
      <w:proofErr w:type="spellEnd"/>
      <w:r w:rsidRPr="00BE2D3D">
        <w:rPr>
          <w:b/>
          <w:i/>
          <w:u w:val="single"/>
        </w:rPr>
        <w:t xml:space="preserve">". </w:t>
      </w:r>
      <w:proofErr w:type="gramStart"/>
      <w:r w:rsidRPr="00BE2D3D">
        <w:rPr>
          <w:b/>
          <w:i/>
          <w:u w:val="single"/>
        </w:rPr>
        <w:t>Ул. Леп</w:t>
      </w:r>
      <w:r w:rsidRPr="00BE2D3D">
        <w:rPr>
          <w:b/>
          <w:i/>
          <w:u w:val="single"/>
        </w:rPr>
        <w:t>е</w:t>
      </w:r>
      <w:r w:rsidRPr="00BE2D3D">
        <w:rPr>
          <w:b/>
          <w:i/>
          <w:u w:val="single"/>
        </w:rPr>
        <w:t>шинского, д. 22а, к. 3-в, 246015 г. Гомель,  Республика Беларусь.</w:t>
      </w:r>
      <w:proofErr w:type="gramEnd"/>
      <w:r w:rsidR="00CC320E">
        <w:rPr>
          <w:b/>
          <w:i/>
          <w:u w:val="single"/>
        </w:rPr>
        <w:t xml:space="preserve"> </w:t>
      </w:r>
      <w:proofErr w:type="spellStart"/>
      <w:r w:rsidRPr="00BE2D3D">
        <w:rPr>
          <w:b/>
          <w:i/>
          <w:u w:val="single"/>
        </w:rPr>
        <w:t>Зарегистртировано</w:t>
      </w:r>
      <w:proofErr w:type="spellEnd"/>
      <w:r w:rsidRPr="00BE2D3D">
        <w:rPr>
          <w:b/>
          <w:i/>
          <w:u w:val="single"/>
        </w:rPr>
        <w:t xml:space="preserve"> в Едином госуда</w:t>
      </w:r>
      <w:r w:rsidRPr="00BE2D3D">
        <w:rPr>
          <w:b/>
          <w:i/>
          <w:u w:val="single"/>
        </w:rPr>
        <w:t>р</w:t>
      </w:r>
      <w:r w:rsidRPr="00BE2D3D">
        <w:rPr>
          <w:b/>
          <w:i/>
          <w:u w:val="single"/>
        </w:rPr>
        <w:t>ственном регистре юридических лиц и индивидуальных предпринимателей  за №490440506. Свид</w:t>
      </w:r>
      <w:r w:rsidRPr="00BE2D3D">
        <w:rPr>
          <w:b/>
          <w:i/>
          <w:u w:val="single"/>
        </w:rPr>
        <w:t>е</w:t>
      </w:r>
      <w:r w:rsidRPr="00BE2D3D">
        <w:rPr>
          <w:b/>
          <w:i/>
          <w:u w:val="single"/>
        </w:rPr>
        <w:t>тельство о государственной регистрации выдано 02.11.2009 на основании решения Гомельского горо</w:t>
      </w:r>
      <w:r w:rsidRPr="00BE2D3D">
        <w:rPr>
          <w:b/>
          <w:i/>
          <w:u w:val="single"/>
        </w:rPr>
        <w:t>д</w:t>
      </w:r>
      <w:r w:rsidRPr="00BE2D3D">
        <w:rPr>
          <w:b/>
          <w:i/>
          <w:u w:val="single"/>
        </w:rPr>
        <w:t>ского исполнительного комитета.</w:t>
      </w:r>
    </w:p>
    <w:p w:rsidR="00D53359" w:rsidRPr="00BE2D3D" w:rsidRDefault="00D53359" w:rsidP="00BE2D3D">
      <w:pPr>
        <w:pStyle w:val="newncpi0"/>
        <w:spacing w:before="0" w:after="0"/>
        <w:ind w:firstLine="708"/>
        <w:contextualSpacing/>
        <w:rPr>
          <w:b/>
          <w:bCs/>
        </w:rPr>
      </w:pPr>
    </w:p>
    <w:p w:rsidR="00D53359" w:rsidRPr="00BE2D3D" w:rsidRDefault="00D53359" w:rsidP="00BE2D3D">
      <w:pPr>
        <w:pStyle w:val="newncpi0"/>
        <w:spacing w:before="0" w:after="0"/>
        <w:ind w:firstLine="708"/>
        <w:contextualSpacing/>
        <w:rPr>
          <w:b/>
          <w:i/>
          <w:u w:val="single"/>
        </w:rPr>
      </w:pPr>
      <w:r w:rsidRPr="00BE2D3D">
        <w:rPr>
          <w:bCs/>
        </w:rPr>
        <w:t>Период, за который проводился аудит:</w:t>
      </w:r>
      <w:r w:rsidR="007D7E45">
        <w:rPr>
          <w:b/>
          <w:i/>
          <w:u w:val="single"/>
        </w:rPr>
        <w:t>01.01.202</w:t>
      </w:r>
      <w:r w:rsidR="00AE3858">
        <w:rPr>
          <w:b/>
          <w:i/>
          <w:u w:val="single"/>
        </w:rPr>
        <w:t>4</w:t>
      </w:r>
      <w:r w:rsidRPr="00BE2D3D">
        <w:rPr>
          <w:b/>
          <w:i/>
          <w:u w:val="single"/>
        </w:rPr>
        <w:t xml:space="preserve"> -  31.12.20</w:t>
      </w:r>
      <w:r w:rsidR="007D7E45">
        <w:rPr>
          <w:b/>
          <w:i/>
          <w:u w:val="single"/>
        </w:rPr>
        <w:t>2</w:t>
      </w:r>
      <w:r w:rsidR="00AE3858">
        <w:rPr>
          <w:b/>
          <w:i/>
          <w:u w:val="single"/>
        </w:rPr>
        <w:t>4</w:t>
      </w:r>
      <w:r w:rsidR="007E345A">
        <w:rPr>
          <w:b/>
          <w:i/>
          <w:u w:val="single"/>
        </w:rPr>
        <w:t>.</w:t>
      </w:r>
    </w:p>
    <w:p w:rsidR="00D53359" w:rsidRPr="00BE2D3D" w:rsidRDefault="00D53359" w:rsidP="00BE2D3D">
      <w:pPr>
        <w:pStyle w:val="newncpi0"/>
        <w:spacing w:before="0" w:after="0"/>
        <w:ind w:firstLine="708"/>
        <w:contextualSpacing/>
      </w:pPr>
    </w:p>
    <w:p w:rsidR="00D53359" w:rsidRDefault="00D53359" w:rsidP="00BE2D3D">
      <w:pPr>
        <w:pStyle w:val="newncpi0"/>
        <w:spacing w:before="0" w:after="0"/>
        <w:ind w:firstLine="708"/>
        <w:contextualSpacing/>
        <w:rPr>
          <w:b/>
          <w:i/>
          <w:u w:val="single"/>
        </w:rPr>
      </w:pPr>
      <w:r w:rsidRPr="00BE2D3D">
        <w:rPr>
          <w:bCs/>
        </w:rPr>
        <w:t>Аудиторское мнение о достоверности бухгалтерской (финансовой) отчетности, а в случае выявле</w:t>
      </w:r>
      <w:r w:rsidRPr="00BE2D3D">
        <w:rPr>
          <w:bCs/>
        </w:rPr>
        <w:t>н</w:t>
      </w:r>
      <w:r w:rsidRPr="00BE2D3D">
        <w:rPr>
          <w:bCs/>
        </w:rPr>
        <w:t xml:space="preserve">ных нарушений в бухгалтерской (финансовой) отчетности - сведения о данных нарушениях: </w:t>
      </w:r>
      <w:proofErr w:type="gramStart"/>
      <w:r w:rsidRPr="00BE2D3D">
        <w:rPr>
          <w:b/>
          <w:i/>
          <w:u w:val="single"/>
        </w:rPr>
        <w:t>По нашему мнению, прилагаемая годовая бухгалтерская отчетность достоверно, во всех существенных аспе</w:t>
      </w:r>
      <w:r w:rsidRPr="00BE2D3D">
        <w:rPr>
          <w:b/>
          <w:i/>
          <w:u w:val="single"/>
        </w:rPr>
        <w:t>к</w:t>
      </w:r>
      <w:r w:rsidRPr="00BE2D3D">
        <w:rPr>
          <w:b/>
          <w:i/>
          <w:u w:val="single"/>
        </w:rPr>
        <w:t>тах, отражает финансовое положение Открытого акционерного общества «Строительный трест №20» г. Светлогорск по состоянию на 31 декабря 20</w:t>
      </w:r>
      <w:r w:rsidR="007D7E45">
        <w:rPr>
          <w:b/>
          <w:i/>
          <w:u w:val="single"/>
        </w:rPr>
        <w:t>2</w:t>
      </w:r>
      <w:r w:rsidR="00AE3858">
        <w:rPr>
          <w:b/>
          <w:i/>
          <w:u w:val="single"/>
        </w:rPr>
        <w:t>4</w:t>
      </w:r>
      <w:r w:rsidRPr="00BE2D3D">
        <w:rPr>
          <w:b/>
          <w:i/>
          <w:u w:val="single"/>
        </w:rPr>
        <w:t xml:space="preserve"> года, а также финансовые результаты его де</w:t>
      </w:r>
      <w:r w:rsidRPr="00BE2D3D">
        <w:rPr>
          <w:b/>
          <w:i/>
          <w:u w:val="single"/>
        </w:rPr>
        <w:t>я</w:t>
      </w:r>
      <w:r w:rsidRPr="00BE2D3D">
        <w:rPr>
          <w:b/>
          <w:i/>
          <w:u w:val="single"/>
        </w:rPr>
        <w:t>тельности и изменение его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</w:r>
      <w:proofErr w:type="gramEnd"/>
    </w:p>
    <w:p w:rsidR="00A438A1" w:rsidRDefault="00A438A1" w:rsidP="00BE2D3D">
      <w:pPr>
        <w:pStyle w:val="newncpi0"/>
        <w:spacing w:before="0" w:after="0"/>
        <w:ind w:firstLine="708"/>
        <w:contextualSpacing/>
        <w:rPr>
          <w:b/>
          <w:i/>
          <w:u w:val="single"/>
        </w:rPr>
      </w:pPr>
    </w:p>
    <w:p w:rsidR="00A438A1" w:rsidRPr="00A438A1" w:rsidRDefault="00A438A1" w:rsidP="00BE2D3D">
      <w:pPr>
        <w:pStyle w:val="newncpi0"/>
        <w:spacing w:before="0" w:after="0"/>
        <w:ind w:firstLine="708"/>
        <w:contextualSpacing/>
        <w:rPr>
          <w:b/>
          <w:i/>
          <w:u w:val="single"/>
        </w:rPr>
      </w:pPr>
      <w:r w:rsidRPr="00A438A1">
        <w:rPr>
          <w:bCs/>
        </w:rPr>
        <w:t>Дата и источник опубликования аудиторского заключения по бухгалтерской (финансовой) отчетн</w:t>
      </w:r>
      <w:r w:rsidRPr="00A438A1">
        <w:rPr>
          <w:bCs/>
        </w:rPr>
        <w:t>о</w:t>
      </w:r>
      <w:r w:rsidRPr="00A438A1">
        <w:rPr>
          <w:bCs/>
        </w:rPr>
        <w:t>сти в полном объеме:</w:t>
      </w:r>
      <w:r w:rsidR="00AC01CF">
        <w:rPr>
          <w:bCs/>
        </w:rPr>
        <w:t xml:space="preserve"> </w:t>
      </w:r>
      <w:r w:rsidR="00B85F99">
        <w:rPr>
          <w:b/>
          <w:i/>
          <w:u w:val="single"/>
        </w:rPr>
        <w:t>2</w:t>
      </w:r>
      <w:r w:rsidR="00AE3858">
        <w:rPr>
          <w:b/>
          <w:i/>
          <w:u w:val="single"/>
        </w:rPr>
        <w:t>6</w:t>
      </w:r>
      <w:r w:rsidRPr="00A438A1">
        <w:rPr>
          <w:b/>
          <w:i/>
          <w:u w:val="single"/>
        </w:rPr>
        <w:t>.0</w:t>
      </w:r>
      <w:r w:rsidR="00AC01CF">
        <w:rPr>
          <w:b/>
          <w:i/>
          <w:u w:val="single"/>
        </w:rPr>
        <w:t>4</w:t>
      </w:r>
      <w:r w:rsidRPr="00A438A1">
        <w:rPr>
          <w:b/>
          <w:i/>
          <w:u w:val="single"/>
        </w:rPr>
        <w:t>.202</w:t>
      </w:r>
      <w:r w:rsidR="00AE3858">
        <w:rPr>
          <w:b/>
          <w:i/>
          <w:u w:val="single"/>
        </w:rPr>
        <w:t>5</w:t>
      </w:r>
      <w:r w:rsidRPr="00A438A1">
        <w:rPr>
          <w:b/>
          <w:i/>
          <w:u w:val="single"/>
        </w:rPr>
        <w:t xml:space="preserve"> г.  опубликовано на едином информационном ресурсе рынка ценных б</w:t>
      </w:r>
      <w:r w:rsidRPr="00A438A1">
        <w:rPr>
          <w:b/>
          <w:i/>
          <w:u w:val="single"/>
        </w:rPr>
        <w:t>у</w:t>
      </w:r>
      <w:r w:rsidRPr="00A438A1">
        <w:rPr>
          <w:b/>
          <w:i/>
          <w:u w:val="single"/>
        </w:rPr>
        <w:t>маг (ЕПФР)</w:t>
      </w:r>
      <w:r w:rsidR="00B85F99">
        <w:rPr>
          <w:b/>
          <w:i/>
          <w:u w:val="single"/>
        </w:rPr>
        <w:t>, 2</w:t>
      </w:r>
      <w:r w:rsidR="00AE3858">
        <w:rPr>
          <w:b/>
          <w:i/>
          <w:u w:val="single"/>
        </w:rPr>
        <w:t>6</w:t>
      </w:r>
      <w:r w:rsidR="00B85F99" w:rsidRPr="00A438A1">
        <w:rPr>
          <w:b/>
          <w:i/>
          <w:u w:val="single"/>
        </w:rPr>
        <w:t>.0</w:t>
      </w:r>
      <w:r w:rsidR="00B85F99">
        <w:rPr>
          <w:b/>
          <w:i/>
          <w:u w:val="single"/>
        </w:rPr>
        <w:t>4</w:t>
      </w:r>
      <w:r w:rsidR="00B85F99" w:rsidRPr="00A438A1">
        <w:rPr>
          <w:b/>
          <w:i/>
          <w:u w:val="single"/>
        </w:rPr>
        <w:t>.202</w:t>
      </w:r>
      <w:r w:rsidR="00AE3858">
        <w:rPr>
          <w:b/>
          <w:i/>
          <w:u w:val="single"/>
        </w:rPr>
        <w:t>5</w:t>
      </w:r>
      <w:bookmarkStart w:id="0" w:name="_GoBack"/>
      <w:bookmarkEnd w:id="0"/>
      <w:r w:rsidR="00B85F99" w:rsidRPr="00A438A1">
        <w:rPr>
          <w:b/>
          <w:i/>
          <w:u w:val="single"/>
        </w:rPr>
        <w:t xml:space="preserve"> г</w:t>
      </w:r>
      <w:r w:rsidR="00B85F99">
        <w:rPr>
          <w:b/>
          <w:i/>
          <w:u w:val="single"/>
        </w:rPr>
        <w:t xml:space="preserve"> . – сайт эмитента</w:t>
      </w:r>
      <w:r w:rsidR="00B85F99" w:rsidRPr="00A438A1">
        <w:rPr>
          <w:b/>
          <w:i/>
          <w:u w:val="single"/>
        </w:rPr>
        <w:t xml:space="preserve">.  </w:t>
      </w:r>
    </w:p>
    <w:p w:rsidR="00A438A1" w:rsidRPr="00A438A1" w:rsidRDefault="00A438A1" w:rsidP="00D53359">
      <w:pPr>
        <w:spacing w:line="160" w:lineRule="exact"/>
        <w:rPr>
          <w:sz w:val="24"/>
          <w:szCs w:val="24"/>
        </w:rPr>
      </w:pPr>
    </w:p>
    <w:p w:rsidR="00D53359" w:rsidRDefault="00D53359" w:rsidP="00D53359">
      <w:pPr>
        <w:pStyle w:val="newncpi0"/>
        <w:spacing w:before="0" w:after="0"/>
        <w:ind w:firstLine="708"/>
        <w:contextualSpacing/>
      </w:pPr>
      <w:r w:rsidRPr="00622EB6">
        <w:t xml:space="preserve">Сведения о применении </w:t>
      </w:r>
      <w:r>
        <w:t>О</w:t>
      </w:r>
      <w:r w:rsidRPr="00622EB6">
        <w:t>бществом Свода п</w:t>
      </w:r>
      <w:r>
        <w:t>равил корпоративного поведения</w:t>
      </w:r>
      <w:r w:rsidRPr="00622EB6">
        <w:t>:</w:t>
      </w:r>
      <w:r w:rsidR="00AC01CF">
        <w:t xml:space="preserve"> </w:t>
      </w:r>
      <w:r w:rsidRPr="00622EB6">
        <w:t xml:space="preserve"> </w:t>
      </w:r>
      <w:r w:rsidRPr="00BE2D3D">
        <w:rPr>
          <w:b/>
          <w:i/>
          <w:u w:val="single"/>
        </w:rPr>
        <w:t>не применяется</w:t>
      </w:r>
      <w:r w:rsidR="00BE2D3D">
        <w:t>.</w:t>
      </w:r>
    </w:p>
    <w:p w:rsidR="00BE2D3D" w:rsidRPr="00C93D1E" w:rsidRDefault="00BE2D3D" w:rsidP="00D53359">
      <w:pPr>
        <w:pStyle w:val="newncpi0"/>
        <w:spacing w:before="0" w:after="0"/>
        <w:ind w:firstLine="708"/>
        <w:contextualSpacing/>
        <w:rPr>
          <w:b/>
          <w:i/>
          <w:u w:val="single"/>
        </w:rPr>
      </w:pPr>
    </w:p>
    <w:p w:rsidR="00F461B3" w:rsidRDefault="00D53359" w:rsidP="007D7E45">
      <w:pPr>
        <w:pStyle w:val="newncpi0"/>
        <w:spacing w:before="0" w:after="0"/>
        <w:ind w:firstLine="708"/>
        <w:contextualSpacing/>
      </w:pPr>
      <w:r w:rsidRPr="00622EB6">
        <w:t xml:space="preserve">Адрес официального сайта </w:t>
      </w:r>
      <w:r>
        <w:t>Общества</w:t>
      </w:r>
      <w:r w:rsidRPr="00622EB6">
        <w:t xml:space="preserve"> в сети Интернет</w:t>
      </w:r>
      <w:r w:rsidR="00BE2D3D" w:rsidRPr="00BE2D3D">
        <w:rPr>
          <w:i/>
        </w:rPr>
        <w:t>:</w:t>
      </w:r>
      <w:r w:rsidR="00AC01CF">
        <w:rPr>
          <w:i/>
        </w:rPr>
        <w:t xml:space="preserve">    </w:t>
      </w:r>
      <w:proofErr w:type="spellStart"/>
      <w:r w:rsidRPr="00BE2D3D">
        <w:rPr>
          <w:b/>
          <w:i/>
          <w:u w:val="single"/>
          <w:lang w:val="en-US"/>
        </w:rPr>
        <w:t>trest</w:t>
      </w:r>
      <w:proofErr w:type="spellEnd"/>
      <w:r w:rsidRPr="00BE2D3D">
        <w:rPr>
          <w:b/>
          <w:i/>
          <w:u w:val="single"/>
        </w:rPr>
        <w:t>20.</w:t>
      </w:r>
      <w:r w:rsidRPr="00BE2D3D">
        <w:rPr>
          <w:b/>
          <w:i/>
          <w:u w:val="single"/>
          <w:lang w:val="en-US"/>
        </w:rPr>
        <w:t>by</w:t>
      </w:r>
    </w:p>
    <w:sectPr w:rsidR="00F461B3" w:rsidSect="00EE0EE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6887"/>
    <w:rsid w:val="000028A6"/>
    <w:rsid w:val="000127AD"/>
    <w:rsid w:val="00023001"/>
    <w:rsid w:val="00035236"/>
    <w:rsid w:val="00041037"/>
    <w:rsid w:val="000435D1"/>
    <w:rsid w:val="000606AB"/>
    <w:rsid w:val="000709B7"/>
    <w:rsid w:val="000903D5"/>
    <w:rsid w:val="000A1AC1"/>
    <w:rsid w:val="000C0043"/>
    <w:rsid w:val="000C22C4"/>
    <w:rsid w:val="000E2BDE"/>
    <w:rsid w:val="00111C28"/>
    <w:rsid w:val="001136D6"/>
    <w:rsid w:val="0014380E"/>
    <w:rsid w:val="00145EF4"/>
    <w:rsid w:val="00150924"/>
    <w:rsid w:val="0016367D"/>
    <w:rsid w:val="00166098"/>
    <w:rsid w:val="00186887"/>
    <w:rsid w:val="00187A99"/>
    <w:rsid w:val="002321E1"/>
    <w:rsid w:val="002408A8"/>
    <w:rsid w:val="00245BC6"/>
    <w:rsid w:val="00255371"/>
    <w:rsid w:val="00277D23"/>
    <w:rsid w:val="00287548"/>
    <w:rsid w:val="002925AE"/>
    <w:rsid w:val="002A43F1"/>
    <w:rsid w:val="002D13E8"/>
    <w:rsid w:val="002E13FD"/>
    <w:rsid w:val="00320FB1"/>
    <w:rsid w:val="00323A78"/>
    <w:rsid w:val="00325C6D"/>
    <w:rsid w:val="0033181C"/>
    <w:rsid w:val="00335E8A"/>
    <w:rsid w:val="003430B0"/>
    <w:rsid w:val="0034469A"/>
    <w:rsid w:val="00371CAE"/>
    <w:rsid w:val="00380FA2"/>
    <w:rsid w:val="003A14C6"/>
    <w:rsid w:val="003A1CC0"/>
    <w:rsid w:val="003A4772"/>
    <w:rsid w:val="003B77ED"/>
    <w:rsid w:val="003D2FC8"/>
    <w:rsid w:val="003E6EE0"/>
    <w:rsid w:val="003F1701"/>
    <w:rsid w:val="003F6849"/>
    <w:rsid w:val="003F6C03"/>
    <w:rsid w:val="003F71B6"/>
    <w:rsid w:val="00411C3A"/>
    <w:rsid w:val="00415FF6"/>
    <w:rsid w:val="004228C7"/>
    <w:rsid w:val="004328CA"/>
    <w:rsid w:val="00443B3F"/>
    <w:rsid w:val="00446898"/>
    <w:rsid w:val="00452AD5"/>
    <w:rsid w:val="00454D49"/>
    <w:rsid w:val="00456C3A"/>
    <w:rsid w:val="004817F8"/>
    <w:rsid w:val="004B15AA"/>
    <w:rsid w:val="004C11EC"/>
    <w:rsid w:val="004E450E"/>
    <w:rsid w:val="00503C98"/>
    <w:rsid w:val="00510DB5"/>
    <w:rsid w:val="0051646C"/>
    <w:rsid w:val="005317BF"/>
    <w:rsid w:val="00555F73"/>
    <w:rsid w:val="00561B34"/>
    <w:rsid w:val="005644B5"/>
    <w:rsid w:val="00566045"/>
    <w:rsid w:val="005732BB"/>
    <w:rsid w:val="00575C6E"/>
    <w:rsid w:val="00586DCF"/>
    <w:rsid w:val="00592EDD"/>
    <w:rsid w:val="00596DB1"/>
    <w:rsid w:val="005979F2"/>
    <w:rsid w:val="005B6B07"/>
    <w:rsid w:val="005C13D9"/>
    <w:rsid w:val="005F6481"/>
    <w:rsid w:val="00641A56"/>
    <w:rsid w:val="00650385"/>
    <w:rsid w:val="00673DD4"/>
    <w:rsid w:val="00685E82"/>
    <w:rsid w:val="00694FA7"/>
    <w:rsid w:val="006A172C"/>
    <w:rsid w:val="006B0617"/>
    <w:rsid w:val="006B08C9"/>
    <w:rsid w:val="006E563C"/>
    <w:rsid w:val="006E689A"/>
    <w:rsid w:val="006F63D8"/>
    <w:rsid w:val="007230C6"/>
    <w:rsid w:val="007400B5"/>
    <w:rsid w:val="00743240"/>
    <w:rsid w:val="00744D09"/>
    <w:rsid w:val="007508F7"/>
    <w:rsid w:val="00776FA1"/>
    <w:rsid w:val="007A0BF2"/>
    <w:rsid w:val="007A4B85"/>
    <w:rsid w:val="007A6168"/>
    <w:rsid w:val="007A691D"/>
    <w:rsid w:val="007C4E62"/>
    <w:rsid w:val="007D24CE"/>
    <w:rsid w:val="007D4254"/>
    <w:rsid w:val="007D4994"/>
    <w:rsid w:val="007D66D4"/>
    <w:rsid w:val="007D7025"/>
    <w:rsid w:val="007D7E45"/>
    <w:rsid w:val="007E345A"/>
    <w:rsid w:val="007E4481"/>
    <w:rsid w:val="007F516A"/>
    <w:rsid w:val="007F73FD"/>
    <w:rsid w:val="00803AE8"/>
    <w:rsid w:val="008058A1"/>
    <w:rsid w:val="008141E0"/>
    <w:rsid w:val="0083773C"/>
    <w:rsid w:val="00851EC9"/>
    <w:rsid w:val="00864115"/>
    <w:rsid w:val="00895619"/>
    <w:rsid w:val="008B5315"/>
    <w:rsid w:val="008C13B1"/>
    <w:rsid w:val="008C5B97"/>
    <w:rsid w:val="008D483E"/>
    <w:rsid w:val="008E2FA7"/>
    <w:rsid w:val="008E7E7A"/>
    <w:rsid w:val="008F70B7"/>
    <w:rsid w:val="00907698"/>
    <w:rsid w:val="00914828"/>
    <w:rsid w:val="00917FA0"/>
    <w:rsid w:val="00942D69"/>
    <w:rsid w:val="00952E01"/>
    <w:rsid w:val="009544F3"/>
    <w:rsid w:val="00975B90"/>
    <w:rsid w:val="009A5FA6"/>
    <w:rsid w:val="009B7989"/>
    <w:rsid w:val="009C7958"/>
    <w:rsid w:val="009D1632"/>
    <w:rsid w:val="009D2C98"/>
    <w:rsid w:val="009D550B"/>
    <w:rsid w:val="009F60BD"/>
    <w:rsid w:val="00A119E6"/>
    <w:rsid w:val="00A30CE7"/>
    <w:rsid w:val="00A36B42"/>
    <w:rsid w:val="00A438A1"/>
    <w:rsid w:val="00A45709"/>
    <w:rsid w:val="00A47E0E"/>
    <w:rsid w:val="00A600D8"/>
    <w:rsid w:val="00A8224A"/>
    <w:rsid w:val="00A83444"/>
    <w:rsid w:val="00A90CE5"/>
    <w:rsid w:val="00A92A78"/>
    <w:rsid w:val="00A93966"/>
    <w:rsid w:val="00AA17FA"/>
    <w:rsid w:val="00AA32BA"/>
    <w:rsid w:val="00AB35F9"/>
    <w:rsid w:val="00AC01CF"/>
    <w:rsid w:val="00AD0B6D"/>
    <w:rsid w:val="00AD4467"/>
    <w:rsid w:val="00AE35E8"/>
    <w:rsid w:val="00AE3858"/>
    <w:rsid w:val="00AF27E2"/>
    <w:rsid w:val="00AF576A"/>
    <w:rsid w:val="00B21925"/>
    <w:rsid w:val="00B32BD6"/>
    <w:rsid w:val="00B64CA6"/>
    <w:rsid w:val="00B740C0"/>
    <w:rsid w:val="00B85F99"/>
    <w:rsid w:val="00B937AD"/>
    <w:rsid w:val="00BC17C9"/>
    <w:rsid w:val="00BD5760"/>
    <w:rsid w:val="00BE2D3D"/>
    <w:rsid w:val="00BE2DC2"/>
    <w:rsid w:val="00C027EA"/>
    <w:rsid w:val="00C16FBA"/>
    <w:rsid w:val="00C219B9"/>
    <w:rsid w:val="00C24169"/>
    <w:rsid w:val="00C41C8B"/>
    <w:rsid w:val="00C531F8"/>
    <w:rsid w:val="00C9652C"/>
    <w:rsid w:val="00CC2046"/>
    <w:rsid w:val="00CC320E"/>
    <w:rsid w:val="00D242D5"/>
    <w:rsid w:val="00D453B8"/>
    <w:rsid w:val="00D50C32"/>
    <w:rsid w:val="00D53359"/>
    <w:rsid w:val="00D53408"/>
    <w:rsid w:val="00D61501"/>
    <w:rsid w:val="00D6680F"/>
    <w:rsid w:val="00D6716D"/>
    <w:rsid w:val="00D838CF"/>
    <w:rsid w:val="00D96B29"/>
    <w:rsid w:val="00DB677F"/>
    <w:rsid w:val="00DE27F1"/>
    <w:rsid w:val="00DE7995"/>
    <w:rsid w:val="00DF2F9D"/>
    <w:rsid w:val="00E04C28"/>
    <w:rsid w:val="00E15585"/>
    <w:rsid w:val="00E2778D"/>
    <w:rsid w:val="00E4470E"/>
    <w:rsid w:val="00E55252"/>
    <w:rsid w:val="00E62EE3"/>
    <w:rsid w:val="00E6710B"/>
    <w:rsid w:val="00E67A52"/>
    <w:rsid w:val="00E75AC2"/>
    <w:rsid w:val="00E8637A"/>
    <w:rsid w:val="00EB1929"/>
    <w:rsid w:val="00EB569A"/>
    <w:rsid w:val="00EC045B"/>
    <w:rsid w:val="00ED3F1E"/>
    <w:rsid w:val="00EE0EEC"/>
    <w:rsid w:val="00EE238E"/>
    <w:rsid w:val="00F26E87"/>
    <w:rsid w:val="00F36C96"/>
    <w:rsid w:val="00F461B3"/>
    <w:rsid w:val="00F73BE4"/>
    <w:rsid w:val="00F96800"/>
    <w:rsid w:val="00FA2396"/>
    <w:rsid w:val="00FB43B6"/>
    <w:rsid w:val="00FB67C6"/>
    <w:rsid w:val="00FD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B67C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B6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FB67C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34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4FDB-5632-4BEF-A4F5-D29ED6DF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Montana</dc:creator>
  <cp:lastModifiedBy>Tony Montana</cp:lastModifiedBy>
  <cp:revision>16</cp:revision>
  <cp:lastPrinted>2024-05-06T12:25:00Z</cp:lastPrinted>
  <dcterms:created xsi:type="dcterms:W3CDTF">2020-03-24T11:13:00Z</dcterms:created>
  <dcterms:modified xsi:type="dcterms:W3CDTF">2025-04-26T06:54:00Z</dcterms:modified>
</cp:coreProperties>
</file>